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F95EA" w14:textId="77777777" w:rsidR="0098556F" w:rsidRPr="0098556F" w:rsidRDefault="0098556F" w:rsidP="0098556F">
      <w:pPr>
        <w:shd w:val="clear" w:color="auto" w:fill="FFFFFF"/>
        <w:spacing w:after="0" w:line="240" w:lineRule="auto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</w:pPr>
      <w:proofErr w:type="spellStart"/>
      <w:r w:rsidRPr="0098556F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  <w:t>Cochilco</w:t>
      </w:r>
      <w:proofErr w:type="spellEnd"/>
      <w:r w:rsidRPr="0098556F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  <w:t xml:space="preserve"> rehausse sa prévision de moyenne du cuivre pour 2024</w:t>
      </w:r>
    </w:p>
    <w:p w14:paraId="5B69D015" w14:textId="77777777" w:rsidR="0098556F" w:rsidRDefault="0098556F" w:rsidP="0098556F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3E001F"/>
          <w:kern w:val="0"/>
          <w:sz w:val="30"/>
          <w:szCs w:val="30"/>
          <w:lang w:eastAsia="fr-BE"/>
          <w14:ligatures w14:val="none"/>
        </w:rPr>
      </w:pPr>
    </w:p>
    <w:p w14:paraId="7A859FAB" w14:textId="345FD48C" w:rsidR="0098556F" w:rsidRPr="0098556F" w:rsidRDefault="0098556F" w:rsidP="0098556F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98556F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La Commission chilienne du cuivre, </w:t>
      </w:r>
      <w:proofErr w:type="spellStart"/>
      <w:r w:rsidRPr="0098556F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Cochilco</w:t>
      </w:r>
      <w:proofErr w:type="spellEnd"/>
      <w:r w:rsidRPr="0098556F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, a rehaussé sa prévision de moyenne du cours du cuivre pour 2024, à 8.500 $/t, contre 8.300 $/t précédemment.</w:t>
      </w:r>
    </w:p>
    <w:p w14:paraId="734B5648" w14:textId="77777777" w:rsidR="0098556F" w:rsidRPr="0098556F" w:rsidRDefault="0098556F" w:rsidP="0098556F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98556F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Dans un communiqué, la commission a expliqué qu’elle avait intégré dans sa projection des facteurs tels que « </w:t>
      </w:r>
      <w:r w:rsidRPr="0098556F">
        <w:rPr>
          <w:rFonts w:ascii="Lato" w:eastAsia="Times New Roman" w:hAnsi="Lato" w:cs="Times New Roman"/>
          <w:i/>
          <w:iCs/>
          <w:color w:val="000000"/>
          <w:kern w:val="0"/>
          <w:sz w:val="23"/>
          <w:szCs w:val="23"/>
          <w:lang w:eastAsia="fr-BE"/>
          <w14:ligatures w14:val="none"/>
        </w:rPr>
        <w:t>la normalisation de la politique monétaire américaine </w:t>
      </w:r>
      <w:r w:rsidRPr="0098556F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», mais surtout la progression de la demande issue de la transition énergétique et des véhicules électriques. « </w:t>
      </w:r>
      <w:r w:rsidRPr="0098556F">
        <w:rPr>
          <w:rFonts w:ascii="Lato" w:eastAsia="Times New Roman" w:hAnsi="Lato" w:cs="Times New Roman"/>
          <w:i/>
          <w:iCs/>
          <w:color w:val="000000"/>
          <w:kern w:val="0"/>
          <w:sz w:val="23"/>
          <w:szCs w:val="23"/>
          <w:lang w:eastAsia="fr-BE"/>
          <w14:ligatures w14:val="none"/>
        </w:rPr>
        <w:t>Ces facteurs nous permettent d’espérer une augmentation des cours du cuivre </w:t>
      </w:r>
      <w:r w:rsidRPr="0098556F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», a commenté la commission, qui table, par ailleurs, sur une moyenne de 8.600 $/t en 2025.</w:t>
      </w:r>
    </w:p>
    <w:p w14:paraId="2C3A0F67" w14:textId="77777777" w:rsidR="0098556F" w:rsidRPr="0098556F" w:rsidRDefault="0098556F" w:rsidP="0098556F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98556F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</w:t>
      </w:r>
    </w:p>
    <w:p w14:paraId="4A6DB703" w14:textId="77777777" w:rsidR="0098556F" w:rsidRPr="0098556F" w:rsidRDefault="0098556F" w:rsidP="0098556F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98556F">
        <w:rPr>
          <w:rFonts w:ascii="Lato" w:eastAsia="Times New Roman" w:hAnsi="Lato" w:cs="Times New Roman"/>
          <w:b/>
          <w:bCs/>
          <w:color w:val="A52A2A"/>
          <w:kern w:val="0"/>
          <w:sz w:val="23"/>
          <w:szCs w:val="23"/>
          <w:lang w:eastAsia="fr-BE"/>
          <w14:ligatures w14:val="none"/>
        </w:rPr>
        <w:t>2024 et 2025 en excédent</w:t>
      </w:r>
    </w:p>
    <w:p w14:paraId="6E12CAB3" w14:textId="77777777" w:rsidR="0098556F" w:rsidRPr="0098556F" w:rsidRDefault="0098556F" w:rsidP="0098556F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proofErr w:type="spellStart"/>
      <w:r w:rsidRPr="0098556F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Cochilco</w:t>
      </w:r>
      <w:proofErr w:type="spellEnd"/>
      <w:r w:rsidRPr="0098556F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 prévoit une progression de la production chilienne de 5,7%, à 5,63 millions de tonnes de cuivre, en 2024, principalement portée par un meilleur rendement de la mine de </w:t>
      </w:r>
      <w:r w:rsidRPr="0098556F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 xml:space="preserve">Teck </w:t>
      </w:r>
      <w:proofErr w:type="spellStart"/>
      <w:r w:rsidRPr="0098556F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Resources</w:t>
      </w:r>
      <w:proofErr w:type="spellEnd"/>
      <w:r w:rsidRPr="0098556F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 Quebrada Blanca II, puis à 6 millions de tonnes en 2025. </w:t>
      </w:r>
      <w:proofErr w:type="spellStart"/>
      <w:r w:rsidRPr="0098556F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Cochilco</w:t>
      </w:r>
      <w:proofErr w:type="spellEnd"/>
      <w:r w:rsidRPr="0098556F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 anticipe une croissance de la production mondiale de cuivre de 5,8%, à 22,79 millions de tonnes en 2024, et 23,50 millions de tonnes en 2025.</w:t>
      </w:r>
    </w:p>
    <w:p w14:paraId="61F72259" w14:textId="77777777" w:rsidR="0098556F" w:rsidRPr="0098556F" w:rsidRDefault="0098556F" w:rsidP="0098556F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98556F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La demande mondiale est attendue en hausse de 3,2%, à 26,13 millions de tonnes, en 2024. Le marché mondial devrait donc ressortir en excédent de 176.000 tonnes cette même année, puis à 170.000 tonnes en 2025.</w:t>
      </w:r>
    </w:p>
    <w:p w14:paraId="2D1078F2" w14:textId="77777777" w:rsidR="00287462" w:rsidRDefault="00287462"/>
    <w:sectPr w:rsidR="00287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6F"/>
    <w:rsid w:val="00287462"/>
    <w:rsid w:val="0098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DA80"/>
  <w15:chartTrackingRefBased/>
  <w15:docId w15:val="{B7EE0E9D-0249-44B6-A638-40F39567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2024-01-29T07:06:00Z</dcterms:created>
  <dcterms:modified xsi:type="dcterms:W3CDTF">2024-01-29T07:06:00Z</dcterms:modified>
</cp:coreProperties>
</file>